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25CE" w14:textId="1605C7AC" w:rsidR="00F400C4" w:rsidRDefault="00A2408D" w:rsidP="00A2408D">
      <w:pPr>
        <w:pStyle w:val="Title"/>
        <w:jc w:val="center"/>
        <w:rPr>
          <w:rFonts w:asciiTheme="minorHAnsi" w:hAnsiTheme="minorHAnsi"/>
          <w:color w:val="0070C0"/>
          <w:sz w:val="28"/>
          <w:szCs w:val="28"/>
        </w:rPr>
      </w:pPr>
      <w:r w:rsidRPr="00C768F9">
        <w:rPr>
          <w:rFonts w:asciiTheme="minorHAnsi" w:hAnsiTheme="minorHAnsi"/>
          <w:color w:val="0070C0"/>
          <w:sz w:val="28"/>
          <w:szCs w:val="28"/>
        </w:rPr>
        <w:t xml:space="preserve">ICC </w:t>
      </w:r>
      <w:r w:rsidRPr="00C55550">
        <w:rPr>
          <w:rFonts w:asciiTheme="minorHAnsi" w:hAnsiTheme="minorHAnsi"/>
          <w:color w:val="0070C0"/>
          <w:sz w:val="28"/>
          <w:szCs w:val="28"/>
        </w:rPr>
        <w:t xml:space="preserve">comments </w:t>
      </w:r>
      <w:r>
        <w:rPr>
          <w:rFonts w:asciiTheme="minorHAnsi" w:hAnsiTheme="minorHAnsi"/>
          <w:color w:val="0070C0"/>
          <w:sz w:val="28"/>
          <w:szCs w:val="28"/>
        </w:rPr>
        <w:t>Workstream B – UN Subcommittee on t</w:t>
      </w:r>
      <w:r w:rsidRPr="00A2408D">
        <w:rPr>
          <w:rFonts w:asciiTheme="minorHAnsi" w:hAnsiTheme="minorHAnsi"/>
          <w:color w:val="0070C0"/>
          <w:sz w:val="28"/>
          <w:szCs w:val="28"/>
        </w:rPr>
        <w:t>he Digitalized and Globalized Economy</w:t>
      </w:r>
    </w:p>
    <w:p w14:paraId="38AC5F7A" w14:textId="77777777" w:rsidR="00A2408D" w:rsidRDefault="00A2408D" w:rsidP="00A2408D"/>
    <w:p w14:paraId="33BD4C0A" w14:textId="77777777" w:rsidR="00A2408D" w:rsidRDefault="00A2408D" w:rsidP="00A2408D"/>
    <w:p w14:paraId="21262439" w14:textId="03E9243D" w:rsidR="00A2408D" w:rsidRPr="004C46FF" w:rsidRDefault="00A2408D" w:rsidP="00A2408D">
      <w:pPr>
        <w:rPr>
          <w:szCs w:val="20"/>
        </w:rPr>
      </w:pPr>
      <w:r w:rsidRPr="004C46FF">
        <w:rPr>
          <w:rFonts w:cs="Arial"/>
          <w:szCs w:val="20"/>
        </w:rPr>
        <w:t xml:space="preserve">The International Chamber of Commerce (ICC), as the world business organization speaking with authority on behalf of enterprises from all sectors in every part of the world, appreciates the opportunity to provide </w:t>
      </w:r>
      <w:r w:rsidRPr="004C46FF">
        <w:rPr>
          <w:rFonts w:cstheme="minorHAnsi"/>
          <w:szCs w:val="20"/>
        </w:rPr>
        <w:t>written comment on the published</w:t>
      </w:r>
      <w:r w:rsidRPr="004C46FF">
        <w:rPr>
          <w:rFonts w:cstheme="minorHAnsi"/>
          <w:szCs w:val="20"/>
        </w:rPr>
        <w:t xml:space="preserve"> proposal on </w:t>
      </w:r>
      <w:r w:rsidRPr="004C46FF">
        <w:rPr>
          <w:szCs w:val="20"/>
        </w:rPr>
        <w:t>the replacement of Articles 5(3)(b), 12A, 14 of the UN Model Convention with a single new provision dealing with cross-border business services</w:t>
      </w:r>
      <w:r w:rsidRPr="004C46FF">
        <w:rPr>
          <w:szCs w:val="20"/>
        </w:rPr>
        <w:t xml:space="preserve">. </w:t>
      </w:r>
    </w:p>
    <w:p w14:paraId="3FD3048A" w14:textId="30B2A9CD" w:rsidR="00A2408D" w:rsidRPr="004C46FF" w:rsidRDefault="00A2408D" w:rsidP="00A2408D">
      <w:pPr>
        <w:rPr>
          <w:rFonts w:cstheme="minorHAnsi"/>
          <w:szCs w:val="20"/>
        </w:rPr>
      </w:pPr>
      <w:r w:rsidRPr="004C46FF">
        <w:rPr>
          <w:szCs w:val="20"/>
        </w:rPr>
        <w:t>We appreciate the international tax challenges brought about by the digitalized economy</w:t>
      </w:r>
      <w:r w:rsidRPr="004C46FF">
        <w:rPr>
          <w:szCs w:val="20"/>
        </w:rPr>
        <w:t xml:space="preserve"> and we welcome the possibility to constructively engage with the subcommittee and the UN Committee of Experts on this very important workstream. </w:t>
      </w:r>
      <w:r w:rsidRPr="004C46FF">
        <w:rPr>
          <w:rFonts w:cstheme="minorHAnsi"/>
          <w:szCs w:val="20"/>
        </w:rPr>
        <w:t>In the comments below we would like to outline industry concerns and comments in relation to th</w:t>
      </w:r>
      <w:r w:rsidRPr="004C46FF">
        <w:rPr>
          <w:rFonts w:cstheme="minorHAnsi"/>
          <w:szCs w:val="20"/>
        </w:rPr>
        <w:t xml:space="preserve">is proposal and we </w:t>
      </w:r>
      <w:proofErr w:type="gramStart"/>
      <w:r w:rsidRPr="004C46FF">
        <w:rPr>
          <w:rFonts w:cstheme="minorHAnsi"/>
          <w:szCs w:val="20"/>
        </w:rPr>
        <w:t>stay</w:t>
      </w:r>
      <w:proofErr w:type="gramEnd"/>
      <w:r w:rsidRPr="004C46FF">
        <w:rPr>
          <w:rFonts w:cstheme="minorHAnsi"/>
          <w:szCs w:val="20"/>
        </w:rPr>
        <w:t xml:space="preserve"> available </w:t>
      </w:r>
      <w:r w:rsidR="00C74C44" w:rsidRPr="004C46FF">
        <w:rPr>
          <w:rFonts w:cstheme="minorHAnsi"/>
          <w:szCs w:val="20"/>
        </w:rPr>
        <w:t xml:space="preserve">to answer any related questions and provided further information as needed. </w:t>
      </w:r>
    </w:p>
    <w:p w14:paraId="2A3D39E7" w14:textId="77777777" w:rsidR="00C74C44" w:rsidRPr="004C46FF" w:rsidRDefault="00C74C44" w:rsidP="00A2408D">
      <w:pPr>
        <w:rPr>
          <w:rFonts w:cstheme="minorHAnsi"/>
          <w:color w:val="0070C0"/>
          <w:szCs w:val="20"/>
        </w:rPr>
      </w:pPr>
    </w:p>
    <w:p w14:paraId="75931447" w14:textId="170D5170" w:rsidR="00C74C44" w:rsidRPr="004C46FF" w:rsidRDefault="00C74C44" w:rsidP="00C74C44">
      <w:pPr>
        <w:spacing w:after="0"/>
        <w:rPr>
          <w:color w:val="0070C0"/>
          <w:szCs w:val="20"/>
        </w:rPr>
      </w:pPr>
      <w:r w:rsidRPr="004C46FF">
        <w:rPr>
          <w:color w:val="0070C0"/>
          <w:szCs w:val="20"/>
        </w:rPr>
        <w:t xml:space="preserve">General Comments </w:t>
      </w:r>
    </w:p>
    <w:p w14:paraId="7CEDC1AA" w14:textId="77777777" w:rsidR="004C46FF" w:rsidRDefault="004C46FF" w:rsidP="00C74C44">
      <w:pPr>
        <w:spacing w:after="0"/>
        <w:rPr>
          <w:szCs w:val="20"/>
        </w:rPr>
      </w:pPr>
    </w:p>
    <w:p w14:paraId="397D56BF" w14:textId="15958012" w:rsidR="00C74C44" w:rsidRPr="004C46FF" w:rsidRDefault="004C46FF" w:rsidP="004C46FF">
      <w:pPr>
        <w:pStyle w:val="ListParagraph"/>
        <w:numPr>
          <w:ilvl w:val="0"/>
          <w:numId w:val="19"/>
        </w:numPr>
        <w:spacing w:after="0"/>
        <w:rPr>
          <w:szCs w:val="20"/>
        </w:rPr>
      </w:pPr>
      <w:r>
        <w:rPr>
          <w:szCs w:val="20"/>
        </w:rPr>
        <w:t>We understand that t</w:t>
      </w:r>
      <w:r w:rsidR="00C74C44" w:rsidRPr="004C46FF">
        <w:rPr>
          <w:szCs w:val="20"/>
        </w:rPr>
        <w:t>he proposed change contained in Annex 3 of the “</w:t>
      </w:r>
      <w:r w:rsidR="00C74C44" w:rsidRPr="004C46FF">
        <w:rPr>
          <w:szCs w:val="20"/>
        </w:rPr>
        <w:t>Digitalized and Globalized Economy</w:t>
      </w:r>
      <w:r w:rsidR="00C74C44" w:rsidRPr="004C46FF">
        <w:rPr>
          <w:szCs w:val="20"/>
        </w:rPr>
        <w:t xml:space="preserve">” </w:t>
      </w:r>
      <w:r w:rsidR="00C74C44" w:rsidRPr="004C46FF">
        <w:rPr>
          <w:szCs w:val="20"/>
        </w:rPr>
        <w:t>Co-Coordinators’ Report (E/C.18/2023/CRP40)</w:t>
      </w:r>
      <w:r w:rsidR="00C74C44" w:rsidRPr="004C46FF">
        <w:rPr>
          <w:szCs w:val="20"/>
        </w:rPr>
        <w:t xml:space="preserve"> </w:t>
      </w:r>
      <w:r w:rsidR="00C74C44" w:rsidRPr="004C46FF">
        <w:rPr>
          <w:szCs w:val="20"/>
        </w:rPr>
        <w:t>would allow a contracting state to impose tax on the gross amount of payments made by residents of that state (or non-residents with a permanent establishment (PE) in that state that bears those payments) to service providers resident in the other state. Under the new provision, a contracting state would be entitled to tax fees or payments for services arising in that state. However, where the recipient of the fees is a resident of the other contracting state and the beneficial owner of the fees, the tax would be limited to a percentage of the gross amount of the fees, with the percentage to be determined through the negotiations of the treaty partners (as is customary under the provisions of the United Nations Model Convention with respect to rates of tax).</w:t>
      </w:r>
    </w:p>
    <w:p w14:paraId="0FEEE235" w14:textId="31E857CE" w:rsidR="00C74C44" w:rsidRPr="004C46FF" w:rsidRDefault="00C74C44" w:rsidP="00C74C44">
      <w:pPr>
        <w:spacing w:after="0"/>
        <w:rPr>
          <w:szCs w:val="20"/>
        </w:rPr>
      </w:pPr>
      <w:r w:rsidRPr="004C46FF">
        <w:rPr>
          <w:szCs w:val="20"/>
        </w:rPr>
        <w:t xml:space="preserve"> </w:t>
      </w:r>
    </w:p>
    <w:p w14:paraId="3F8A99FB" w14:textId="48CFCE2A" w:rsidR="00C74C44" w:rsidRPr="004C46FF" w:rsidRDefault="00C74C44" w:rsidP="004C46FF">
      <w:pPr>
        <w:pStyle w:val="ListParagraph"/>
        <w:numPr>
          <w:ilvl w:val="0"/>
          <w:numId w:val="19"/>
        </w:numPr>
        <w:spacing w:after="0"/>
        <w:rPr>
          <w:szCs w:val="20"/>
        </w:rPr>
      </w:pPr>
      <w:r w:rsidRPr="004C46FF">
        <w:rPr>
          <w:szCs w:val="20"/>
        </w:rPr>
        <w:t xml:space="preserve">The ICC business community </w:t>
      </w:r>
      <w:r w:rsidRPr="004C46FF">
        <w:rPr>
          <w:szCs w:val="20"/>
        </w:rPr>
        <w:t xml:space="preserve">would like to express its </w:t>
      </w:r>
      <w:r w:rsidR="004C46FF" w:rsidRPr="004C46FF">
        <w:rPr>
          <w:b/>
          <w:bCs/>
          <w:szCs w:val="20"/>
        </w:rPr>
        <w:t xml:space="preserve">deep </w:t>
      </w:r>
      <w:r w:rsidRPr="004C46FF">
        <w:rPr>
          <w:b/>
          <w:bCs/>
          <w:szCs w:val="20"/>
        </w:rPr>
        <w:t xml:space="preserve">concerns on such </w:t>
      </w:r>
      <w:proofErr w:type="gramStart"/>
      <w:r w:rsidRPr="004C46FF">
        <w:rPr>
          <w:b/>
          <w:bCs/>
          <w:szCs w:val="20"/>
        </w:rPr>
        <w:t>proposal</w:t>
      </w:r>
      <w:proofErr w:type="gramEnd"/>
      <w:r w:rsidRPr="004C46FF">
        <w:rPr>
          <w:b/>
          <w:bCs/>
          <w:szCs w:val="20"/>
        </w:rPr>
        <w:t xml:space="preserve"> and recommendations as included in Annex 3.</w:t>
      </w:r>
      <w:r w:rsidRPr="004C46FF">
        <w:rPr>
          <w:szCs w:val="20"/>
        </w:rPr>
        <w:t xml:space="preserve">  </w:t>
      </w:r>
      <w:r w:rsidRPr="004C46FF">
        <w:rPr>
          <w:szCs w:val="20"/>
        </w:rPr>
        <w:t xml:space="preserve">We appreciate the international tax challenges brought about by the digitalized </w:t>
      </w:r>
      <w:proofErr w:type="gramStart"/>
      <w:r w:rsidRPr="004C46FF">
        <w:rPr>
          <w:szCs w:val="20"/>
        </w:rPr>
        <w:t>economy,</w:t>
      </w:r>
      <w:proofErr w:type="gramEnd"/>
      <w:r w:rsidRPr="004C46FF">
        <w:rPr>
          <w:szCs w:val="20"/>
        </w:rPr>
        <w:t xml:space="preserve"> however, </w:t>
      </w:r>
      <w:r w:rsidRPr="004C46FF">
        <w:rPr>
          <w:b/>
          <w:bCs/>
          <w:szCs w:val="20"/>
        </w:rPr>
        <w:t>physical presence remains a key factor for the direct taxation of business profits</w:t>
      </w:r>
      <w:r w:rsidRPr="004C46FF">
        <w:rPr>
          <w:szCs w:val="20"/>
        </w:rPr>
        <w:t xml:space="preserve">. </w:t>
      </w:r>
      <w:r w:rsidRPr="004C46FF">
        <w:rPr>
          <w:szCs w:val="20"/>
        </w:rPr>
        <w:t>Hence, t</w:t>
      </w:r>
      <w:r w:rsidRPr="004C46FF">
        <w:rPr>
          <w:szCs w:val="20"/>
        </w:rPr>
        <w:t xml:space="preserve">axing businesses that provide any service in a state where that business lacks any form of physical presence in that state </w:t>
      </w:r>
      <w:r w:rsidR="004C46FF" w:rsidRPr="004C46FF">
        <w:rPr>
          <w:szCs w:val="20"/>
        </w:rPr>
        <w:t>would not be a successful</w:t>
      </w:r>
      <w:r w:rsidRPr="004C46FF">
        <w:rPr>
          <w:szCs w:val="20"/>
        </w:rPr>
        <w:t xml:space="preserve"> approach. </w:t>
      </w:r>
    </w:p>
    <w:p w14:paraId="1C8C5D17" w14:textId="77777777" w:rsidR="004C46FF" w:rsidRPr="004C46FF" w:rsidRDefault="004C46FF" w:rsidP="00C74C44">
      <w:pPr>
        <w:spacing w:after="0"/>
        <w:rPr>
          <w:szCs w:val="20"/>
        </w:rPr>
      </w:pPr>
    </w:p>
    <w:p w14:paraId="4341FA31" w14:textId="77777777" w:rsidR="00C74C44" w:rsidRDefault="00C74C44" w:rsidP="004C46FF">
      <w:pPr>
        <w:pStyle w:val="ListParagraph"/>
        <w:numPr>
          <w:ilvl w:val="0"/>
          <w:numId w:val="19"/>
        </w:numPr>
        <w:spacing w:before="240"/>
        <w:rPr>
          <w:szCs w:val="20"/>
        </w:rPr>
      </w:pPr>
      <w:r w:rsidRPr="004C46FF">
        <w:rPr>
          <w:rFonts w:eastAsia="Times New Roman"/>
          <w:szCs w:val="20"/>
        </w:rPr>
        <w:lastRenderedPageBreak/>
        <w:t xml:space="preserve">Changes to physical presence tests and the proposed amendments to taxation of cross border business services will have </w:t>
      </w:r>
      <w:r w:rsidRPr="004C46FF">
        <w:rPr>
          <w:rFonts w:eastAsia="Times New Roman"/>
          <w:b/>
          <w:bCs/>
          <w:szCs w:val="20"/>
        </w:rPr>
        <w:t xml:space="preserve">unintended consequences to developing </w:t>
      </w:r>
      <w:proofErr w:type="spellStart"/>
      <w:proofErr w:type="gramStart"/>
      <w:r w:rsidRPr="004C46FF">
        <w:rPr>
          <w:rFonts w:eastAsia="Times New Roman"/>
          <w:b/>
          <w:bCs/>
          <w:szCs w:val="20"/>
        </w:rPr>
        <w:t>countries</w:t>
      </w:r>
      <w:proofErr w:type="spellEnd"/>
      <w:proofErr w:type="gramEnd"/>
      <w:r w:rsidRPr="004C46FF">
        <w:rPr>
          <w:rFonts w:eastAsia="Times New Roman"/>
          <w:b/>
          <w:bCs/>
          <w:szCs w:val="20"/>
        </w:rPr>
        <w:t xml:space="preserve"> economies, in particular those that are exporters of services</w:t>
      </w:r>
      <w:r w:rsidRPr="004C46FF">
        <w:rPr>
          <w:rFonts w:eastAsia="Times New Roman"/>
          <w:szCs w:val="20"/>
        </w:rPr>
        <w:t xml:space="preserve">. </w:t>
      </w:r>
      <w:r w:rsidRPr="004C46FF">
        <w:rPr>
          <w:szCs w:val="20"/>
        </w:rPr>
        <w:t>Assumptions have been made that developing countries are net importers of services; however, international trade data shows that large amount of service exports is now from developing countries, and the amount is increasing quickly.</w:t>
      </w:r>
      <w:r w:rsidRPr="004C46FF">
        <w:rPr>
          <w:rStyle w:val="FootnoteReference"/>
          <w:szCs w:val="20"/>
        </w:rPr>
        <w:footnoteReference w:id="1"/>
      </w:r>
      <w:r w:rsidRPr="004C46FF">
        <w:rPr>
          <w:szCs w:val="20"/>
        </w:rPr>
        <w:t xml:space="preserve"> Services exports from middle-income countries increased three-fold between 2005 and 2019, compared with a two-fold increase for high-income countries. Several developing countries were among the top 25 exporters of services in the world by 2019 including India and Thailand. </w:t>
      </w:r>
    </w:p>
    <w:p w14:paraId="7AA12847" w14:textId="77777777" w:rsidR="004C46FF" w:rsidRPr="004C46FF" w:rsidRDefault="004C46FF" w:rsidP="004C46FF">
      <w:pPr>
        <w:pStyle w:val="ListParagraph"/>
        <w:rPr>
          <w:szCs w:val="20"/>
        </w:rPr>
      </w:pPr>
    </w:p>
    <w:p w14:paraId="0C4A23F9" w14:textId="77777777" w:rsidR="004C46FF" w:rsidRDefault="00C74C44" w:rsidP="004C46FF">
      <w:pPr>
        <w:pStyle w:val="ListParagraph"/>
        <w:numPr>
          <w:ilvl w:val="0"/>
          <w:numId w:val="19"/>
        </w:numPr>
        <w:spacing w:before="240"/>
        <w:rPr>
          <w:rStyle w:val="shareable-quote"/>
          <w:szCs w:val="20"/>
        </w:rPr>
      </w:pPr>
      <w:r w:rsidRPr="004C46FF">
        <w:rPr>
          <w:szCs w:val="20"/>
        </w:rPr>
        <w:t xml:space="preserve">While transportation and tourism have historically been the primary service export-led sector in developing countries, exports of other business services have grown discernibly fast for developing countries over the past 15 years. </w:t>
      </w:r>
      <w:r w:rsidRPr="004C46FF">
        <w:rPr>
          <w:b/>
          <w:bCs/>
          <w:szCs w:val="20"/>
        </w:rPr>
        <w:t xml:space="preserve">Exports of telecommunications, computer, and information services quadrupled between 2005 and 2019, while those of other business services, such as legal, accounting, consulting, and engineering services more than doubled. </w:t>
      </w:r>
      <w:r w:rsidRPr="004C46FF">
        <w:rPr>
          <w:szCs w:val="20"/>
        </w:rPr>
        <w:t xml:space="preserve">About one quarter of the global growth in the export of business services over the past 15 years was accounted for by developing economies. For example, </w:t>
      </w:r>
      <w:r w:rsidRPr="004C46FF">
        <w:rPr>
          <w:rStyle w:val="shareable-quote"/>
          <w:szCs w:val="20"/>
        </w:rPr>
        <w:t>ICT, finance, and other business services—which are all typically offshored and delivered remotely— accounted for more than 20 percent of the total exports of goods and services in Lebanon, Costa Rica, the Philippines, Ghana, and India.</w:t>
      </w:r>
      <w:r w:rsidRPr="004C46FF">
        <w:rPr>
          <w:rStyle w:val="FootnoteReference"/>
          <w:szCs w:val="20"/>
        </w:rPr>
        <w:footnoteReference w:id="2"/>
      </w:r>
    </w:p>
    <w:p w14:paraId="1352CD38" w14:textId="77777777" w:rsidR="004C46FF" w:rsidRPr="004C46FF" w:rsidRDefault="004C46FF" w:rsidP="004C46FF">
      <w:pPr>
        <w:pStyle w:val="ListParagraph"/>
        <w:rPr>
          <w:szCs w:val="20"/>
        </w:rPr>
      </w:pPr>
    </w:p>
    <w:p w14:paraId="7893F99B" w14:textId="77777777" w:rsidR="00C74C44" w:rsidRDefault="00C74C44" w:rsidP="004C46FF">
      <w:pPr>
        <w:pStyle w:val="ListParagraph"/>
        <w:numPr>
          <w:ilvl w:val="0"/>
          <w:numId w:val="19"/>
        </w:numPr>
        <w:spacing w:before="240"/>
        <w:rPr>
          <w:szCs w:val="20"/>
        </w:rPr>
      </w:pPr>
      <w:r w:rsidRPr="004C46FF">
        <w:rPr>
          <w:b/>
          <w:bCs/>
          <w:szCs w:val="20"/>
        </w:rPr>
        <w:t>Our global business community has concerns that such changes to physical presence tests or the expansion of taxation of cross-border business services will only stifle the growth of export-led services in developing economies.</w:t>
      </w:r>
      <w:r w:rsidRPr="004C46FF">
        <w:rPr>
          <w:szCs w:val="20"/>
        </w:rPr>
        <w:t xml:space="preserve"> The World Bank argues that export opportunities for developing countries will widen, but </w:t>
      </w:r>
      <w:r w:rsidRPr="004C46FF">
        <w:rPr>
          <w:rStyle w:val="Emphasis"/>
          <w:szCs w:val="20"/>
        </w:rPr>
        <w:t xml:space="preserve">due to fewer restrictions on services trade, technology diffusion from digital platforms, and </w:t>
      </w:r>
      <w:r w:rsidRPr="004C46FF">
        <w:rPr>
          <w:szCs w:val="20"/>
        </w:rPr>
        <w:t xml:space="preserve">an expanding list of MNCs from developing countries that are exploiting export opportunities through outward foreign direct investment (which is the most dominant mode of services trade). </w:t>
      </w:r>
    </w:p>
    <w:p w14:paraId="7060ABB8" w14:textId="77777777" w:rsidR="004C46FF" w:rsidRPr="004C46FF" w:rsidRDefault="004C46FF" w:rsidP="004C46FF">
      <w:pPr>
        <w:pStyle w:val="ListParagraph"/>
        <w:rPr>
          <w:szCs w:val="20"/>
        </w:rPr>
      </w:pPr>
    </w:p>
    <w:p w14:paraId="5FDB9775" w14:textId="77777777" w:rsidR="00C74C44" w:rsidRPr="004C46FF" w:rsidRDefault="00C74C44" w:rsidP="004C46FF">
      <w:pPr>
        <w:pStyle w:val="ListParagraph"/>
        <w:numPr>
          <w:ilvl w:val="0"/>
          <w:numId w:val="19"/>
        </w:numPr>
        <w:spacing w:before="240"/>
        <w:rPr>
          <w:color w:val="FF0000"/>
          <w:szCs w:val="20"/>
        </w:rPr>
      </w:pPr>
      <w:r w:rsidRPr="004C46FF">
        <w:rPr>
          <w:szCs w:val="20"/>
        </w:rPr>
        <w:t xml:space="preserve">While the fundamental goal to combine Articles 5(3)(b), 12A and 14 into one new provision is to “simplify the provisions of the UN Model Convention dealing with business services”, we find the new provision would </w:t>
      </w:r>
      <w:proofErr w:type="gramStart"/>
      <w:r w:rsidRPr="004C46FF">
        <w:rPr>
          <w:b/>
          <w:bCs/>
          <w:szCs w:val="20"/>
        </w:rPr>
        <w:t>actually increase</w:t>
      </w:r>
      <w:proofErr w:type="gramEnd"/>
      <w:r w:rsidRPr="004C46FF">
        <w:rPr>
          <w:b/>
          <w:bCs/>
          <w:szCs w:val="20"/>
        </w:rPr>
        <w:t xml:space="preserve"> administrative complexity for taxpayers and only bring about more tax uncertainty in an already increasingly complex international tax system.</w:t>
      </w:r>
      <w:r w:rsidRPr="004C46FF">
        <w:rPr>
          <w:szCs w:val="20"/>
        </w:rPr>
        <w:t xml:space="preserve"> Annex 3 notes that this would simplify the Model Convention significantly and that taxpayers would no longer need to distinguish between fees for different services. However, we believe the proposed amendment will </w:t>
      </w:r>
      <w:proofErr w:type="gramStart"/>
      <w:r w:rsidRPr="004C46FF">
        <w:rPr>
          <w:szCs w:val="20"/>
        </w:rPr>
        <w:t>actually make</w:t>
      </w:r>
      <w:proofErr w:type="gramEnd"/>
      <w:r w:rsidRPr="004C46FF">
        <w:rPr>
          <w:szCs w:val="20"/>
        </w:rPr>
        <w:t xml:space="preserve"> it more complicated for service providers and for customers of service providers. Under the new proposal, </w:t>
      </w:r>
      <w:r w:rsidRPr="004C46FF">
        <w:rPr>
          <w:b/>
          <w:bCs/>
          <w:szCs w:val="20"/>
        </w:rPr>
        <w:t>all service fees will come within scope of taxation (which will mean a much wider payment base to review from a withholding tax perspective), and depending on the source country, could attract different rates</w:t>
      </w:r>
      <w:r w:rsidRPr="004C46FF">
        <w:rPr>
          <w:szCs w:val="20"/>
        </w:rPr>
        <w:t xml:space="preserve">. In addition, there will </w:t>
      </w:r>
      <w:proofErr w:type="gramStart"/>
      <w:r w:rsidRPr="004C46FF">
        <w:rPr>
          <w:szCs w:val="20"/>
        </w:rPr>
        <w:t>different</w:t>
      </w:r>
      <w:proofErr w:type="gramEnd"/>
      <w:r w:rsidRPr="004C46FF">
        <w:rPr>
          <w:szCs w:val="20"/>
        </w:rPr>
        <w:t xml:space="preserve"> interpretations taken by </w:t>
      </w:r>
      <w:r w:rsidRPr="004C46FF">
        <w:rPr>
          <w:szCs w:val="20"/>
        </w:rPr>
        <w:lastRenderedPageBreak/>
        <w:t>different countries in relation to what ‘fees for services’ encompasses and therefore we do not foresee an immediate simplification for businesses or customers. If the Subcommittee moves forward regardless, w</w:t>
      </w:r>
      <w:r w:rsidRPr="004C46FF">
        <w:rPr>
          <w:rFonts w:eastAsia="Times New Roman"/>
          <w:szCs w:val="20"/>
        </w:rPr>
        <w:t>e strongly suggest that ‘fees for services’ is better and more narrowly defined to focus on the area of concern if this approach is taken.</w:t>
      </w:r>
    </w:p>
    <w:p w14:paraId="3ADF4501" w14:textId="77777777" w:rsidR="004C46FF" w:rsidRPr="004C46FF" w:rsidRDefault="004C46FF" w:rsidP="004C46FF">
      <w:pPr>
        <w:pStyle w:val="ListParagraph"/>
        <w:spacing w:before="240"/>
        <w:rPr>
          <w:color w:val="FF0000"/>
          <w:szCs w:val="20"/>
        </w:rPr>
      </w:pPr>
    </w:p>
    <w:p w14:paraId="064E4FEE" w14:textId="77777777" w:rsidR="00C74C44" w:rsidRDefault="00C74C44" w:rsidP="004C46FF">
      <w:pPr>
        <w:pStyle w:val="ListParagraph"/>
        <w:numPr>
          <w:ilvl w:val="0"/>
          <w:numId w:val="19"/>
        </w:numPr>
        <w:spacing w:before="240"/>
        <w:rPr>
          <w:szCs w:val="20"/>
        </w:rPr>
      </w:pPr>
      <w:r w:rsidRPr="004C46FF">
        <w:rPr>
          <w:szCs w:val="20"/>
        </w:rPr>
        <w:t xml:space="preserve">Moreover, from a tax cost perspective, there is </w:t>
      </w:r>
      <w:r w:rsidRPr="004C46FF">
        <w:rPr>
          <w:b/>
          <w:bCs/>
          <w:szCs w:val="20"/>
        </w:rPr>
        <w:t xml:space="preserve">a risk of over taxation, including double and multilayer taxation, if withholding tax is applied to </w:t>
      </w:r>
      <w:proofErr w:type="gramStart"/>
      <w:r w:rsidRPr="004C46FF">
        <w:rPr>
          <w:b/>
          <w:bCs/>
          <w:szCs w:val="20"/>
        </w:rPr>
        <w:t>each and every</w:t>
      </w:r>
      <w:proofErr w:type="gramEnd"/>
      <w:r w:rsidRPr="004C46FF">
        <w:rPr>
          <w:b/>
          <w:bCs/>
          <w:szCs w:val="20"/>
        </w:rPr>
        <w:t xml:space="preserve"> service payment made to service providers</w:t>
      </w:r>
      <w:r w:rsidRPr="004C46FF">
        <w:rPr>
          <w:szCs w:val="20"/>
        </w:rPr>
        <w:t>. This will inevitably need to be passed onto customers who will bear the increased cost through higher service fees.</w:t>
      </w:r>
    </w:p>
    <w:p w14:paraId="157A4B58" w14:textId="77777777" w:rsidR="004C46FF" w:rsidRPr="004C46FF" w:rsidRDefault="004C46FF" w:rsidP="004C46FF">
      <w:pPr>
        <w:pStyle w:val="ListParagraph"/>
        <w:rPr>
          <w:szCs w:val="20"/>
        </w:rPr>
      </w:pPr>
    </w:p>
    <w:p w14:paraId="055D0A92" w14:textId="77777777" w:rsidR="00C74C44" w:rsidRDefault="00C74C44" w:rsidP="004C46FF">
      <w:pPr>
        <w:pStyle w:val="ListParagraph"/>
        <w:numPr>
          <w:ilvl w:val="0"/>
          <w:numId w:val="19"/>
        </w:numPr>
        <w:spacing w:before="240"/>
        <w:rPr>
          <w:rFonts w:eastAsia="Times New Roman"/>
          <w:szCs w:val="20"/>
        </w:rPr>
      </w:pPr>
      <w:r w:rsidRPr="004C46FF">
        <w:rPr>
          <w:rFonts w:eastAsia="Times New Roman"/>
          <w:szCs w:val="20"/>
        </w:rPr>
        <w:t xml:space="preserve">Another key concern of ours in relation to the proposed amendment is that </w:t>
      </w:r>
      <w:r w:rsidRPr="004C46FF">
        <w:rPr>
          <w:rFonts w:eastAsia="Times New Roman"/>
          <w:b/>
          <w:bCs/>
          <w:szCs w:val="20"/>
        </w:rPr>
        <w:t>no distinction is made between low and high value services or low margin and high margin services</w:t>
      </w:r>
      <w:r w:rsidRPr="004C46FF">
        <w:rPr>
          <w:rFonts w:eastAsia="Times New Roman"/>
          <w:szCs w:val="20"/>
        </w:rPr>
        <w:t>. If all types of services attract withholding taxes on gross receipts, this will have varying levels of impact to business’ profitability and the global economy. If discussions on this topic do move forward, we ask that you seriously consider the taxation applying to net rather than gross receipts.</w:t>
      </w:r>
    </w:p>
    <w:p w14:paraId="238C563E" w14:textId="77777777" w:rsidR="00B9284A" w:rsidRPr="00B9284A" w:rsidRDefault="00B9284A" w:rsidP="00B9284A">
      <w:pPr>
        <w:pStyle w:val="ListParagraph"/>
        <w:rPr>
          <w:rFonts w:eastAsia="Times New Roman"/>
          <w:szCs w:val="20"/>
        </w:rPr>
      </w:pPr>
    </w:p>
    <w:p w14:paraId="3CB608B1" w14:textId="77777777" w:rsidR="009E697F" w:rsidRDefault="00B9284A" w:rsidP="006E0C84">
      <w:pPr>
        <w:pStyle w:val="ListParagraph"/>
        <w:numPr>
          <w:ilvl w:val="0"/>
          <w:numId w:val="19"/>
        </w:numPr>
      </w:pPr>
      <w:r>
        <w:t>Additionally</w:t>
      </w:r>
      <w:r w:rsidR="00041967">
        <w:t xml:space="preserve"> </w:t>
      </w:r>
      <w:r w:rsidR="00A058E2">
        <w:t xml:space="preserve">and in connection with workstream C of the same report, </w:t>
      </w:r>
      <w:r>
        <w:t xml:space="preserve">ICC members are concerned that extending a country’s taxing rights to tax almost all cross border services without any requirement for the services to be performed in a country or even potentially reducing the </w:t>
      </w:r>
      <w:r w:rsidRPr="00A257C1">
        <w:t xml:space="preserve"> 183-day rule  to zero, 90, or 120 days, </w:t>
      </w:r>
      <w:r w:rsidRPr="00B03E72">
        <w:rPr>
          <w:b/>
          <w:bCs/>
        </w:rPr>
        <w:t>risks discouraging businesses from allowing employees to spend any time in a country (including exploring investment opportunities) unless there is already a PE in that country.</w:t>
      </w:r>
      <w:r w:rsidRPr="00A257C1">
        <w:t xml:space="preserve"> </w:t>
      </w:r>
    </w:p>
    <w:p w14:paraId="2E783363" w14:textId="77777777" w:rsidR="009E697F" w:rsidRPr="009E697F" w:rsidRDefault="009E697F" w:rsidP="009E697F">
      <w:pPr>
        <w:pStyle w:val="ListParagraph"/>
        <w:rPr>
          <w:highlight w:val="yellow"/>
        </w:rPr>
      </w:pPr>
    </w:p>
    <w:p w14:paraId="75B7720C" w14:textId="0C6FEBCF" w:rsidR="00B9284A" w:rsidRPr="009E697F" w:rsidRDefault="00B9284A" w:rsidP="006E0C84">
      <w:pPr>
        <w:pStyle w:val="ListParagraph"/>
        <w:numPr>
          <w:ilvl w:val="0"/>
          <w:numId w:val="19"/>
        </w:numPr>
      </w:pPr>
      <w:r w:rsidRPr="009E697F">
        <w:t xml:space="preserve">Workstream B represents a fundamental shift from the location of service consumption to performance, and such a change in taxing rights would pose challenges for both service providers and service recipients who sign global services contracts. This </w:t>
      </w:r>
      <w:r w:rsidRPr="00B03E72">
        <w:rPr>
          <w:b/>
          <w:bCs/>
        </w:rPr>
        <w:t>model introduces complexity in cases with single contracts and dispersed resources and consumers – questions arise about who should withhold, how to withhold, and how to allocate income</w:t>
      </w:r>
      <w:r w:rsidRPr="009E697F">
        <w:t>.</w:t>
      </w:r>
    </w:p>
    <w:p w14:paraId="27FE1D2C" w14:textId="77777777" w:rsidR="009E697F" w:rsidRPr="009E697F" w:rsidRDefault="009E697F" w:rsidP="009E697F">
      <w:pPr>
        <w:pStyle w:val="ListParagraph"/>
      </w:pPr>
    </w:p>
    <w:p w14:paraId="0B398CDB" w14:textId="733BAB7C" w:rsidR="00B9284A" w:rsidRPr="009E697F" w:rsidRDefault="00B9284A" w:rsidP="00B9284A">
      <w:pPr>
        <w:pStyle w:val="ListParagraph"/>
        <w:numPr>
          <w:ilvl w:val="0"/>
          <w:numId w:val="19"/>
        </w:numPr>
      </w:pPr>
      <w:r w:rsidRPr="009E697F">
        <w:rPr>
          <w:u w:val="single"/>
        </w:rPr>
        <w:t xml:space="preserve"> </w:t>
      </w:r>
      <w:r w:rsidRPr="009E697F">
        <w:t xml:space="preserve">ICC members are also concerned with the business reaction to a proposed approach to revise the threshold requirement by considering both the number of employees and other personnel working in a country, along with the number of days each one works in the country, which appears complicated (as also recognized by the </w:t>
      </w:r>
      <w:r w:rsidR="007D18E8">
        <w:t>A</w:t>
      </w:r>
      <w:r w:rsidRPr="009E697F">
        <w:t>uthor</w:t>
      </w:r>
      <w:r w:rsidR="007D18E8">
        <w:t xml:space="preserve"> of the report</w:t>
      </w:r>
      <w:r w:rsidRPr="009E697F">
        <w:t>). We would like to emphasize that such an approach will increase compliance challenges for businesses, especially for multinational enterprises with a large employee base that cannot have full oversight of each employee's location and movements.</w:t>
      </w:r>
    </w:p>
    <w:p w14:paraId="26D7121C" w14:textId="77777777" w:rsidR="009E697F" w:rsidRDefault="009E697F" w:rsidP="00C74C44">
      <w:pPr>
        <w:rPr>
          <w:rFonts w:eastAsia="Times New Roman"/>
          <w:szCs w:val="20"/>
        </w:rPr>
      </w:pPr>
    </w:p>
    <w:p w14:paraId="263FF12C" w14:textId="7C0A010C" w:rsidR="004C46FF" w:rsidRDefault="00C74C44" w:rsidP="00C74C44">
      <w:pPr>
        <w:rPr>
          <w:rFonts w:eastAsia="Times New Roman"/>
          <w:szCs w:val="20"/>
        </w:rPr>
      </w:pPr>
      <w:r w:rsidRPr="004C46FF">
        <w:rPr>
          <w:rFonts w:eastAsia="Times New Roman"/>
          <w:szCs w:val="20"/>
        </w:rPr>
        <w:t>We note that many of the above points have also been raised by committee members during UN meetings taking place in October</w:t>
      </w:r>
      <w:r w:rsidR="004C46FF">
        <w:rPr>
          <w:rFonts w:eastAsia="Times New Roman"/>
          <w:szCs w:val="20"/>
        </w:rPr>
        <w:t>.</w:t>
      </w:r>
    </w:p>
    <w:p w14:paraId="5B07D12B" w14:textId="77777777" w:rsidR="004C46FF" w:rsidRDefault="004C46FF" w:rsidP="00C74C44">
      <w:pPr>
        <w:rPr>
          <w:rFonts w:eastAsia="Times New Roman"/>
          <w:szCs w:val="20"/>
        </w:rPr>
      </w:pPr>
    </w:p>
    <w:p w14:paraId="5D6B43DA" w14:textId="2CAF8410" w:rsidR="00C74C44" w:rsidRPr="004C46FF" w:rsidRDefault="004C46FF" w:rsidP="00C74C44">
      <w:pPr>
        <w:rPr>
          <w:rFonts w:eastAsia="Times New Roman"/>
          <w:szCs w:val="20"/>
        </w:rPr>
      </w:pPr>
      <w:r>
        <w:rPr>
          <w:rFonts w:eastAsia="Times New Roman"/>
          <w:szCs w:val="20"/>
        </w:rPr>
        <w:lastRenderedPageBreak/>
        <w:t xml:space="preserve">We thank you for the opportunity to provide written comments </w:t>
      </w:r>
      <w:r w:rsidRPr="004C46FF">
        <w:rPr>
          <w:rFonts w:eastAsia="Times New Roman"/>
          <w:szCs w:val="20"/>
        </w:rPr>
        <w:t xml:space="preserve">and </w:t>
      </w:r>
      <w:r w:rsidRPr="004C46FF">
        <w:rPr>
          <w:szCs w:val="20"/>
        </w:rPr>
        <w:t>ICC remains committed to providing knowledge and expertise on behalf of the global business community</w:t>
      </w:r>
      <w:r w:rsidRPr="004C46FF">
        <w:rPr>
          <w:szCs w:val="20"/>
        </w:rPr>
        <w:t xml:space="preserve"> as further needed. </w:t>
      </w:r>
    </w:p>
    <w:p w14:paraId="7716E09A" w14:textId="77777777" w:rsidR="00C74C44" w:rsidRDefault="00C74C44" w:rsidP="00C74C44"/>
    <w:p w14:paraId="2CB4E1C9" w14:textId="77777777" w:rsidR="004C46FF" w:rsidRDefault="004C46FF">
      <w:pPr>
        <w:spacing w:after="0" w:line="240" w:lineRule="auto"/>
        <w:rPr>
          <w:rStyle w:val="Strong"/>
        </w:rPr>
      </w:pPr>
      <w:r>
        <w:rPr>
          <w:rStyle w:val="Strong"/>
        </w:rPr>
        <w:br w:type="page"/>
      </w:r>
    </w:p>
    <w:p w14:paraId="13D893C9" w14:textId="7E3AB168" w:rsidR="00FC5E20" w:rsidRPr="007C207A" w:rsidRDefault="00FC5E20" w:rsidP="00FC5E20">
      <w:pPr>
        <w:rPr>
          <w:rStyle w:val="Strong"/>
        </w:rPr>
      </w:pPr>
      <w:r w:rsidRPr="007C207A">
        <w:rPr>
          <w:rStyle w:val="Strong"/>
        </w:rPr>
        <w:lastRenderedPageBreak/>
        <w:t xml:space="preserve">About the International Chamber of Commerce </w:t>
      </w:r>
    </w:p>
    <w:p w14:paraId="76AA31B3" w14:textId="77777777" w:rsidR="00FC5E20" w:rsidRPr="007C207A" w:rsidRDefault="00FC5E20" w:rsidP="00FC5E20">
      <w:r w:rsidRPr="007C207A">
        <w:t xml:space="preserve">The International Chamber of Commerce (ICC) is the institutional representative of more than </w:t>
      </w:r>
      <w:r>
        <w:br/>
      </w:r>
      <w:r w:rsidRPr="007C207A">
        <w:t>45 million companies</w:t>
      </w:r>
      <w:r>
        <w:t xml:space="preserve"> </w:t>
      </w:r>
      <w:r w:rsidRPr="007C207A">
        <w:t>in over 1</w:t>
      </w:r>
      <w:r>
        <w:t>7</w:t>
      </w:r>
      <w:r w:rsidRPr="007C207A">
        <w:t>0 countries. ICC’s core mission is to make business work for everyone, every day, everywhere. Through a unique</w:t>
      </w:r>
      <w:r>
        <w:t xml:space="preserve"> </w:t>
      </w:r>
      <w:r w:rsidRPr="007C207A">
        <w:t xml:space="preserve">mix of advocacy, </w:t>
      </w:r>
      <w:proofErr w:type="gramStart"/>
      <w:r w:rsidRPr="007C207A">
        <w:t>solutions</w:t>
      </w:r>
      <w:proofErr w:type="gramEnd"/>
      <w:r w:rsidRPr="007C207A">
        <w:t xml:space="preserve"> and standard setting, we promote international trade, responsible business conduct and</w:t>
      </w:r>
      <w:r>
        <w:t xml:space="preserve"> </w:t>
      </w:r>
      <w:r w:rsidRPr="007C207A">
        <w:t>a global approach</w:t>
      </w:r>
      <w:r>
        <w:br/>
      </w:r>
      <w:r w:rsidRPr="007C207A">
        <w:t xml:space="preserve"> to regulation, in addition to providing market-leading dispute resolution services. Our members</w:t>
      </w:r>
      <w:r>
        <w:t xml:space="preserve"> </w:t>
      </w:r>
      <w:r w:rsidRPr="007C207A">
        <w:t>include many of the world’s leading companies, SMEs, business associations and local chambers of commerce.</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3"/>
        <w:gridCol w:w="6791"/>
      </w:tblGrid>
      <w:tr w:rsidR="00FC5E20" w:rsidRPr="00A2408D" w14:paraId="251DBDD0" w14:textId="77777777" w:rsidTr="0010208E">
        <w:tc>
          <w:tcPr>
            <w:tcW w:w="2263" w:type="dxa"/>
          </w:tcPr>
          <w:p w14:paraId="7A419C41" w14:textId="77777777" w:rsidR="00FC5E20" w:rsidRDefault="00FC5E20" w:rsidP="0010208E">
            <w:pPr>
              <w:rPr>
                <w:color w:val="FF0000"/>
              </w:rPr>
            </w:pPr>
            <w:r>
              <w:rPr>
                <w:noProof/>
              </w:rPr>
              <w:drawing>
                <wp:inline distT="0" distB="0" distL="0" distR="0" wp14:anchorId="01078DA9" wp14:editId="19D24F9C">
                  <wp:extent cx="1217160" cy="756000"/>
                  <wp:effectExtent l="0" t="0" r="2540" b="6350"/>
                  <wp:docPr id="16" name="Imag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2"/>
                          <a:stretch>
                            <a:fillRect/>
                          </a:stretch>
                        </pic:blipFill>
                        <pic:spPr>
                          <a:xfrm>
                            <a:off x="0" y="0"/>
                            <a:ext cx="1217160" cy="756000"/>
                          </a:xfrm>
                          <a:prstGeom prst="rect">
                            <a:avLst/>
                          </a:prstGeom>
                        </pic:spPr>
                      </pic:pic>
                    </a:graphicData>
                  </a:graphic>
                </wp:inline>
              </w:drawing>
            </w:r>
          </w:p>
        </w:tc>
        <w:tc>
          <w:tcPr>
            <w:tcW w:w="6791" w:type="dxa"/>
            <w:vAlign w:val="center"/>
          </w:tcPr>
          <w:p w14:paraId="4214701C" w14:textId="08C42C17" w:rsidR="00FC5E20" w:rsidRPr="000C58B2" w:rsidRDefault="00FC5E20" w:rsidP="0010208E">
            <w:pPr>
              <w:rPr>
                <w:color w:val="FF0000"/>
                <w:sz w:val="16"/>
                <w:szCs w:val="16"/>
                <w:lang w:val="fr-FR"/>
              </w:rPr>
            </w:pPr>
            <w:r w:rsidRPr="000C58B2">
              <w:rPr>
                <w:color w:val="000000" w:themeColor="background1"/>
                <w:sz w:val="16"/>
                <w:szCs w:val="16"/>
                <w:lang w:val="fr-FR"/>
              </w:rPr>
              <w:t>33-43 avenue du Président Wilson, 75116 Paris, France</w:t>
            </w:r>
            <w:r w:rsidRPr="000C58B2">
              <w:rPr>
                <w:color w:val="000000" w:themeColor="background1"/>
                <w:sz w:val="16"/>
                <w:szCs w:val="16"/>
                <w:lang w:val="fr-FR"/>
              </w:rPr>
              <w:br/>
              <w:t xml:space="preserve">T +33 (0)1 49 53 28 28    E </w:t>
            </w:r>
            <w:hyperlink r:id="rId13" w:history="1">
              <w:r w:rsidR="004C46FF" w:rsidRPr="001001D5">
                <w:rPr>
                  <w:rStyle w:val="Hyperlink"/>
                  <w:sz w:val="16"/>
                  <w:szCs w:val="16"/>
                  <w:lang w:val="fr-FR"/>
                </w:rPr>
                <w:t>icc@iccwbo.org</w:t>
              </w:r>
            </w:hyperlink>
            <w:r w:rsidRPr="000C58B2">
              <w:rPr>
                <w:color w:val="000000" w:themeColor="background1"/>
                <w:sz w:val="16"/>
                <w:szCs w:val="16"/>
                <w:lang w:val="fr-FR"/>
              </w:rPr>
              <w:br/>
            </w:r>
            <w:hyperlink r:id="rId14" w:history="1">
              <w:r w:rsidRPr="00863D5F">
                <w:rPr>
                  <w:rStyle w:val="Hyperlink"/>
                  <w:rFonts w:ascii="Gellix" w:hAnsi="Gellix"/>
                  <w:sz w:val="16"/>
                  <w:szCs w:val="16"/>
                  <w:lang w:val="fr-FR"/>
                </w:rPr>
                <w:t>www.iccwbo.org</w:t>
              </w:r>
            </w:hyperlink>
            <w:r w:rsidRPr="000C58B2">
              <w:rPr>
                <w:color w:val="000000" w:themeColor="background1"/>
                <w:sz w:val="16"/>
                <w:szCs w:val="16"/>
                <w:lang w:val="fr-FR"/>
              </w:rPr>
              <w:t xml:space="preserve">   </w:t>
            </w:r>
            <w:hyperlink r:id="rId15" w:history="1">
              <w:r w:rsidRPr="00863D5F">
                <w:rPr>
                  <w:rStyle w:val="Hyperlink"/>
                  <w:rFonts w:ascii="Gellix" w:hAnsi="Gellix"/>
                  <w:sz w:val="16"/>
                  <w:szCs w:val="16"/>
                  <w:lang w:val="fr-FR"/>
                </w:rPr>
                <w:t>@iccwbo</w:t>
              </w:r>
            </w:hyperlink>
          </w:p>
        </w:tc>
      </w:tr>
    </w:tbl>
    <w:p w14:paraId="73CCD371" w14:textId="77777777" w:rsidR="00FC5E20" w:rsidRPr="00FC5E20" w:rsidRDefault="00FC5E20" w:rsidP="00E93387">
      <w:pPr>
        <w:spacing w:after="0"/>
        <w:rPr>
          <w:b/>
          <w:bCs/>
          <w:color w:val="auto"/>
          <w:lang w:val="fr-FR"/>
        </w:rPr>
      </w:pPr>
    </w:p>
    <w:sectPr w:rsidR="00FC5E20" w:rsidRPr="00FC5E20" w:rsidSect="008C7234">
      <w:headerReference w:type="even" r:id="rId16"/>
      <w:footerReference w:type="even" r:id="rId17"/>
      <w:footerReference w:type="default" r:id="rId18"/>
      <w:headerReference w:type="first" r:id="rId19"/>
      <w:footerReference w:type="first" r:id="rId20"/>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6F7F" w14:textId="77777777" w:rsidR="00E95216" w:rsidRDefault="00E95216" w:rsidP="000222B2">
      <w:r>
        <w:separator/>
      </w:r>
    </w:p>
    <w:p w14:paraId="7C45FB34" w14:textId="77777777" w:rsidR="00E95216" w:rsidRDefault="00E95216" w:rsidP="000222B2"/>
    <w:p w14:paraId="23C2F035" w14:textId="77777777" w:rsidR="00E95216" w:rsidRDefault="00E95216" w:rsidP="000222B2"/>
    <w:p w14:paraId="0885E478" w14:textId="77777777" w:rsidR="00E95216" w:rsidRDefault="00E95216" w:rsidP="000222B2"/>
    <w:p w14:paraId="139A8073" w14:textId="77777777" w:rsidR="00E95216" w:rsidRDefault="00E95216" w:rsidP="000222B2"/>
    <w:p w14:paraId="293E7FBD" w14:textId="77777777" w:rsidR="00E95216" w:rsidRDefault="00E95216" w:rsidP="000222B2"/>
  </w:endnote>
  <w:endnote w:type="continuationSeparator" w:id="0">
    <w:p w14:paraId="5AFEE3DB" w14:textId="77777777" w:rsidR="00E95216" w:rsidRDefault="00E95216" w:rsidP="000222B2">
      <w:r>
        <w:continuationSeparator/>
      </w:r>
    </w:p>
    <w:p w14:paraId="7F781C7A" w14:textId="77777777" w:rsidR="00E95216" w:rsidRDefault="00E95216" w:rsidP="000222B2"/>
    <w:p w14:paraId="3DE95EF2" w14:textId="77777777" w:rsidR="00E95216" w:rsidRDefault="00E95216" w:rsidP="000222B2"/>
    <w:p w14:paraId="3CEC2FAC" w14:textId="77777777" w:rsidR="00E95216" w:rsidRDefault="00E95216" w:rsidP="000222B2"/>
    <w:p w14:paraId="4BEDB772" w14:textId="77777777" w:rsidR="00E95216" w:rsidRDefault="00E95216" w:rsidP="000222B2"/>
    <w:p w14:paraId="79A361B5" w14:textId="77777777" w:rsidR="00E95216" w:rsidRDefault="00E95216"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regular (Corps)">
    <w:altName w:val="Arial"/>
    <w:charset w:val="00"/>
    <w:family w:val="auto"/>
    <w:pitch w:val="variable"/>
    <w:sig w:usb0="E00002FF" w:usb1="5000785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4E"/>
    <w:family w:val="auto"/>
    <w:pitch w:val="variable"/>
    <w:sig w:usb0="00000000"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mbria"/>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3719789"/>
      <w:docPartObj>
        <w:docPartGallery w:val="Page Numbers (Bottom of Page)"/>
        <w:docPartUnique/>
      </w:docPartObj>
    </w:sdtPr>
    <w:sdtEndPr>
      <w:rPr>
        <w:rStyle w:val="PageNumber"/>
      </w:rPr>
    </w:sdtEndPr>
    <w:sdtContent>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EndPr>
      <w:rPr>
        <w:rStyle w:val="PageNumber"/>
      </w:rPr>
    </w:sdtEndPr>
    <w:sdtContent>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69BF" w14:textId="1A2CB394" w:rsidR="004D071C" w:rsidRDefault="00E77BA3" w:rsidP="000222B2">
    <w:r w:rsidRPr="000804A3">
      <w:rPr>
        <w:noProof/>
        <w:sz w:val="16"/>
        <w:szCs w:val="16"/>
      </w:rPr>
      <mc:AlternateContent>
        <mc:Choice Requires="wps">
          <w:drawing>
            <wp:anchor distT="0" distB="0" distL="114300" distR="114300" simplePos="0" relativeHeight="251659264" behindDoc="1" locked="0" layoutInCell="1" allowOverlap="0" wp14:anchorId="3FF1E9BE" wp14:editId="3EA0E19C">
              <wp:simplePos x="0" y="0"/>
              <wp:positionH relativeFrom="page">
                <wp:posOffset>742950</wp:posOffset>
              </wp:positionH>
              <wp:positionV relativeFrom="page">
                <wp:posOffset>10045700</wp:posOffset>
              </wp:positionV>
              <wp:extent cx="6058800" cy="127710"/>
              <wp:effectExtent l="0" t="0" r="1206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0A446640" w:rsidR="00F400C4" w:rsidRPr="00BC4006" w:rsidRDefault="004C46FF" w:rsidP="00F400C4">
                          <w:pPr>
                            <w:pStyle w:val="zFooter"/>
                          </w:pPr>
                          <w:r>
                            <w:t>November</w:t>
                          </w:r>
                          <w:r w:rsidR="00F400C4">
                            <w:t xml:space="preserve"> 202</w:t>
                          </w:r>
                          <w:r w:rsidR="004C2C74">
                            <w:t>3</w:t>
                          </w:r>
                          <w:r w:rsidR="00F400C4" w:rsidRPr="00BC4006">
                            <w:t xml:space="preserve"> | </w:t>
                          </w:r>
                          <w:r>
                            <w:t>Comments on Workstream B Digitalized and Globalized Economy</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3" o:spid="_x0000_s1026" type="#_x0000_t202" style="position:absolute;margin-left:58.5pt;margin-top:791pt;width:477.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" o:allowoverlap="f" filled="f" stroked="f">
              <v:path arrowok="t"/>
              <v:textbox inset="0,0,0,0">
                <w:txbxContent>
                  <w:p w14:paraId="498FFAED" w14:textId="0A446640" w:rsidR="00F400C4" w:rsidRPr="00BC4006" w:rsidRDefault="004C46FF" w:rsidP="00F400C4">
                    <w:pPr>
                      <w:pStyle w:val="zFooter"/>
                    </w:pPr>
                    <w:r>
                      <w:t>November</w:t>
                    </w:r>
                    <w:r w:rsidR="00F400C4">
                      <w:t xml:space="preserve"> 202</w:t>
                    </w:r>
                    <w:r w:rsidR="004C2C74">
                      <w:t>3</w:t>
                    </w:r>
                    <w:r w:rsidR="00F400C4" w:rsidRPr="00BC4006">
                      <w:t xml:space="preserve"> | </w:t>
                    </w:r>
                    <w:r>
                      <w:t>Comments on Workstream B Digitalized and Globalized Economy</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98B" w14:textId="63E8F9FC" w:rsidR="00713BED" w:rsidRPr="003A4365" w:rsidRDefault="002A70D9"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7216" behindDoc="1" locked="0" layoutInCell="1" allowOverlap="0" wp14:anchorId="52B084FA" wp14:editId="5CAB8C73">
              <wp:simplePos x="0" y="0"/>
              <wp:positionH relativeFrom="page">
                <wp:posOffset>726552</wp:posOffset>
              </wp:positionH>
              <wp:positionV relativeFrom="page">
                <wp:posOffset>10045700</wp:posOffset>
              </wp:positionV>
              <wp:extent cx="6058800" cy="127710"/>
              <wp:effectExtent l="0" t="0" r="12065" b="1206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40F91" w14:textId="77777777" w:rsidR="004C2C74" w:rsidRPr="00BC4006" w:rsidRDefault="004C2C74" w:rsidP="004C2C74">
                          <w:pPr>
                            <w:pStyle w:val="zFooter"/>
                          </w:pPr>
                          <w:r>
                            <w:t>Month 2023</w:t>
                          </w:r>
                          <w:r w:rsidRPr="00BC4006">
                            <w:t xml:space="preserve"> | </w:t>
                          </w:r>
                          <w:r>
                            <w:t>Document Title</w:t>
                          </w:r>
                          <w:r w:rsidRPr="00BC4006">
                            <w:t xml:space="preserve"> | </w:t>
                          </w:r>
                          <w:r w:rsidRPr="00BE6229">
                            <w:rPr>
                              <w:b/>
                              <w:bCs/>
                            </w:rPr>
                            <w:fldChar w:fldCharType="begin"/>
                          </w:r>
                          <w:r w:rsidRPr="00BE6229">
                            <w:rPr>
                              <w:b/>
                              <w:bCs/>
                            </w:rPr>
                            <w:instrText xml:space="preserve"> PAGE </w:instrText>
                          </w:r>
                          <w:r w:rsidRPr="00BE6229">
                            <w:rPr>
                              <w:b/>
                              <w:bCs/>
                            </w:rPr>
                            <w:fldChar w:fldCharType="separate"/>
                          </w:r>
                          <w:r>
                            <w:rPr>
                              <w:b/>
                              <w:bCs/>
                            </w:rPr>
                            <w:t>2</w:t>
                          </w:r>
                          <w:r w:rsidRPr="00BE6229">
                            <w:rPr>
                              <w:b/>
                              <w:bCs/>
                            </w:rPr>
                            <w:fldChar w:fldCharType="end"/>
                          </w:r>
                        </w:p>
                        <w:p w14:paraId="751611ED" w14:textId="77777777" w:rsidR="004C2C74" w:rsidRPr="00BC4006" w:rsidRDefault="004C2C74" w:rsidP="004C2C74">
                          <w:pPr>
                            <w:pStyle w:val="zFooter"/>
                          </w:pPr>
                        </w:p>
                        <w:p w14:paraId="6ABAB2A5" w14:textId="77777777" w:rsidR="004C2C74" w:rsidRPr="00BC4006" w:rsidRDefault="004C2C74" w:rsidP="004C2C74">
                          <w:pPr>
                            <w:pStyle w:val="zFooter"/>
                          </w:pPr>
                        </w:p>
                        <w:p w14:paraId="3902E5CB" w14:textId="11AA387A" w:rsidR="002A70D9" w:rsidRPr="00BC4006" w:rsidRDefault="002A70D9" w:rsidP="00BC4006">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084FA" id="_x0000_t202" coordsize="21600,21600" o:spt="202" path="m,l,21600r21600,l21600,xe">
              <v:stroke joinstyle="miter"/>
              <v:path gradientshapeok="t" o:connecttype="rect"/>
            </v:shapetype>
            <v:shape id="_x0000_s1027" type="#_x0000_t202" style="position:absolute;margin-left:57.2pt;margin-top:791pt;width:477.05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ACygEAAIE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" o:allowoverlap="f" filled="f" stroked="f">
              <v:path arrowok="t"/>
              <v:textbox inset="0,0,0,0">
                <w:txbxContent>
                  <w:p w14:paraId="53440F91" w14:textId="77777777" w:rsidR="004C2C74" w:rsidRPr="00BC4006" w:rsidRDefault="004C2C74" w:rsidP="004C2C74">
                    <w:pPr>
                      <w:pStyle w:val="zFooter"/>
                    </w:pPr>
                    <w:r>
                      <w:t>Month 2023</w:t>
                    </w:r>
                    <w:r w:rsidRPr="00BC4006">
                      <w:t xml:space="preserve"> | </w:t>
                    </w:r>
                    <w:r>
                      <w:t>Document Title</w:t>
                    </w:r>
                    <w:r w:rsidRPr="00BC4006">
                      <w:t xml:space="preserve"> | </w:t>
                    </w:r>
                    <w:r w:rsidRPr="00BE6229">
                      <w:rPr>
                        <w:b/>
                        <w:bCs/>
                      </w:rPr>
                      <w:fldChar w:fldCharType="begin"/>
                    </w:r>
                    <w:r w:rsidRPr="00BE6229">
                      <w:rPr>
                        <w:b/>
                        <w:bCs/>
                      </w:rPr>
                      <w:instrText xml:space="preserve"> PAGE </w:instrText>
                    </w:r>
                    <w:r w:rsidRPr="00BE6229">
                      <w:rPr>
                        <w:b/>
                        <w:bCs/>
                      </w:rPr>
                      <w:fldChar w:fldCharType="separate"/>
                    </w:r>
                    <w:r>
                      <w:rPr>
                        <w:b/>
                        <w:bCs/>
                      </w:rPr>
                      <w:t>2</w:t>
                    </w:r>
                    <w:r w:rsidRPr="00BE6229">
                      <w:rPr>
                        <w:b/>
                        <w:bCs/>
                      </w:rPr>
                      <w:fldChar w:fldCharType="end"/>
                    </w:r>
                  </w:p>
                  <w:p w14:paraId="751611ED" w14:textId="77777777" w:rsidR="004C2C74" w:rsidRPr="00BC4006" w:rsidRDefault="004C2C74" w:rsidP="004C2C74">
                    <w:pPr>
                      <w:pStyle w:val="zFooter"/>
                    </w:pPr>
                  </w:p>
                  <w:p w14:paraId="6ABAB2A5" w14:textId="77777777" w:rsidR="004C2C74" w:rsidRPr="00BC4006" w:rsidRDefault="004C2C74" w:rsidP="004C2C74">
                    <w:pPr>
                      <w:pStyle w:val="zFooter"/>
                    </w:pPr>
                  </w:p>
                  <w:p w14:paraId="3902E5CB" w14:textId="11AA387A" w:rsidR="002A70D9" w:rsidRPr="00BC4006" w:rsidRDefault="002A70D9" w:rsidP="00BC4006">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B4BF" w14:textId="77777777" w:rsidR="00E95216" w:rsidRDefault="00E95216" w:rsidP="000222B2">
      <w:r>
        <w:separator/>
      </w:r>
    </w:p>
  </w:footnote>
  <w:footnote w:type="continuationSeparator" w:id="0">
    <w:p w14:paraId="73DE1BA1" w14:textId="77777777" w:rsidR="00E95216" w:rsidRDefault="00E95216" w:rsidP="000222B2">
      <w:r>
        <w:continuationSeparator/>
      </w:r>
    </w:p>
    <w:p w14:paraId="2AD6F0BE" w14:textId="77777777" w:rsidR="00E95216" w:rsidRDefault="00E95216" w:rsidP="000222B2"/>
    <w:p w14:paraId="12DE693D" w14:textId="77777777" w:rsidR="00E95216" w:rsidRDefault="00E95216" w:rsidP="000222B2"/>
    <w:p w14:paraId="7978162F" w14:textId="77777777" w:rsidR="00E95216" w:rsidRDefault="00E95216" w:rsidP="000222B2"/>
    <w:p w14:paraId="0EF7FECA" w14:textId="77777777" w:rsidR="00E95216" w:rsidRDefault="00E95216" w:rsidP="000222B2"/>
    <w:p w14:paraId="5AF64CA5" w14:textId="77777777" w:rsidR="00E95216" w:rsidRDefault="00E95216" w:rsidP="000222B2"/>
  </w:footnote>
  <w:footnote w:id="1">
    <w:p w14:paraId="6CBF4C71" w14:textId="77777777" w:rsidR="00C74C44" w:rsidRPr="004C46FF" w:rsidRDefault="00C74C44" w:rsidP="004C46FF">
      <w:pPr>
        <w:pStyle w:val="FootnoteText"/>
        <w:rPr>
          <w:sz w:val="14"/>
          <w:szCs w:val="14"/>
        </w:rPr>
      </w:pPr>
      <w:r w:rsidRPr="004C46FF">
        <w:rPr>
          <w:rStyle w:val="FootnoteReference"/>
          <w:sz w:val="14"/>
          <w:szCs w:val="14"/>
        </w:rPr>
        <w:footnoteRef/>
      </w:r>
      <w:r w:rsidRPr="004C46FF">
        <w:rPr>
          <w:sz w:val="14"/>
          <w:szCs w:val="14"/>
        </w:rPr>
        <w:t xml:space="preserve"> World integrated Trade Solutions (WITS) and OECD-WTO Balanced Trade in Services dataset (</w:t>
      </w:r>
      <w:proofErr w:type="spellStart"/>
      <w:r w:rsidRPr="004C46FF">
        <w:rPr>
          <w:sz w:val="14"/>
          <w:szCs w:val="14"/>
        </w:rPr>
        <w:t>BaTIS</w:t>
      </w:r>
      <w:proofErr w:type="spellEnd"/>
      <w:r w:rsidRPr="004C46FF">
        <w:rPr>
          <w:sz w:val="14"/>
          <w:szCs w:val="14"/>
        </w:rPr>
        <w:t xml:space="preserve">). See </w:t>
      </w:r>
      <w:hyperlink r:id="rId1" w:history="1">
        <w:r w:rsidRPr="004C46FF">
          <w:rPr>
            <w:rStyle w:val="Hyperlink"/>
            <w:sz w:val="14"/>
            <w:szCs w:val="14"/>
          </w:rPr>
          <w:t>https://blogs.worldbank.org/psd/promise-export-led-services-growth-real</w:t>
        </w:r>
      </w:hyperlink>
      <w:r w:rsidRPr="004C46FF">
        <w:rPr>
          <w:sz w:val="14"/>
          <w:szCs w:val="14"/>
        </w:rPr>
        <w:t xml:space="preserve"> </w:t>
      </w:r>
    </w:p>
  </w:footnote>
  <w:footnote w:id="2">
    <w:p w14:paraId="01E486D6" w14:textId="77777777" w:rsidR="00C74C44" w:rsidRDefault="00C74C44" w:rsidP="004C46FF">
      <w:pPr>
        <w:pStyle w:val="FootnoteText"/>
      </w:pPr>
      <w:r w:rsidRPr="004C46FF">
        <w:rPr>
          <w:rStyle w:val="FootnoteReference"/>
          <w:sz w:val="14"/>
          <w:szCs w:val="14"/>
        </w:rPr>
        <w:footnoteRef/>
      </w:r>
      <w:r w:rsidRPr="004C46FF">
        <w:rPr>
          <w:sz w:val="14"/>
          <w:szCs w:val="14"/>
        </w:rPr>
        <w:t xml:space="preserve"> OECD-WTO Balanced Trade in Services dataset (</w:t>
      </w:r>
      <w:proofErr w:type="spellStart"/>
      <w:r w:rsidRPr="004C46FF">
        <w:rPr>
          <w:sz w:val="14"/>
          <w:szCs w:val="14"/>
        </w:rPr>
        <w:t>BaTIS</w:t>
      </w:r>
      <w:proofErr w:type="spellEnd"/>
      <w:r w:rsidRPr="004C46FF">
        <w:rPr>
          <w:sz w:val="14"/>
          <w:szCs w:val="14"/>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F49D" w14:textId="2FAA46ED" w:rsidR="00713BED" w:rsidRDefault="00713BED" w:rsidP="00833DE3"/>
  <w:p w14:paraId="592C45D2" w14:textId="7C95BB45" w:rsidR="00240027" w:rsidRDefault="00240027" w:rsidP="00833DE3">
    <w:r>
      <w:br/>
    </w:r>
  </w:p>
  <w:p w14:paraId="7E81871D" w14:textId="30132FBF" w:rsidR="005A3059" w:rsidRDefault="0082383A" w:rsidP="00DF7189">
    <w:pPr>
      <w:jc w:val="right"/>
    </w:pPr>
    <w:r>
      <w:t xml:space="preserve">      </w:t>
    </w:r>
    <w:r w:rsidR="00DF7189">
      <w:t xml:space="preserve">  </w:t>
    </w:r>
    <w:r>
      <w:t xml:space="preserve">  </w:t>
    </w:r>
    <w:r w:rsidR="00DF7189">
      <w:t xml:space="preserve">   </w:t>
    </w:r>
    <w:r w:rsidR="005A3059">
      <w:rPr>
        <w:noProof/>
      </w:rPr>
      <w:drawing>
        <wp:inline distT="0" distB="0" distL="0" distR="0" wp14:anchorId="330642D6" wp14:editId="5DC261F5">
          <wp:extent cx="1217160" cy="756000"/>
          <wp:effectExtent l="0" t="0" r="254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6"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D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0"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B77B06"/>
    <w:multiLevelType w:val="hybridMultilevel"/>
    <w:tmpl w:val="A19A31E6"/>
    <w:lvl w:ilvl="0" w:tplc="A8F8C8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3"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995493">
    <w:abstractNumId w:val="15"/>
  </w:num>
  <w:num w:numId="2" w16cid:durableId="635992341">
    <w:abstractNumId w:val="14"/>
  </w:num>
  <w:num w:numId="3" w16cid:durableId="2048794710">
    <w:abstractNumId w:val="10"/>
  </w:num>
  <w:num w:numId="4" w16cid:durableId="1829708508">
    <w:abstractNumId w:val="9"/>
  </w:num>
  <w:num w:numId="5" w16cid:durableId="435175558">
    <w:abstractNumId w:val="12"/>
  </w:num>
  <w:num w:numId="6" w16cid:durableId="1439636879">
    <w:abstractNumId w:val="6"/>
  </w:num>
  <w:num w:numId="7" w16cid:durableId="1797213110">
    <w:abstractNumId w:val="2"/>
  </w:num>
  <w:num w:numId="8" w16cid:durableId="2114587002">
    <w:abstractNumId w:val="5"/>
  </w:num>
  <w:num w:numId="9" w16cid:durableId="968777797">
    <w:abstractNumId w:val="9"/>
    <w:lvlOverride w:ilvl="0">
      <w:startOverride w:val="1"/>
    </w:lvlOverride>
  </w:num>
  <w:num w:numId="10" w16cid:durableId="603415736">
    <w:abstractNumId w:val="17"/>
  </w:num>
  <w:num w:numId="11" w16cid:durableId="783114883">
    <w:abstractNumId w:val="3"/>
  </w:num>
  <w:num w:numId="12" w16cid:durableId="68625500">
    <w:abstractNumId w:val="4"/>
  </w:num>
  <w:num w:numId="13" w16cid:durableId="758218543">
    <w:abstractNumId w:val="0"/>
  </w:num>
  <w:num w:numId="14" w16cid:durableId="418672943">
    <w:abstractNumId w:val="8"/>
  </w:num>
  <w:num w:numId="15" w16cid:durableId="357968599">
    <w:abstractNumId w:val="16"/>
  </w:num>
  <w:num w:numId="16" w16cid:durableId="1632710449">
    <w:abstractNumId w:val="1"/>
  </w:num>
  <w:num w:numId="17" w16cid:durableId="1543519867">
    <w:abstractNumId w:val="7"/>
  </w:num>
  <w:num w:numId="18" w16cid:durableId="1589735114">
    <w:abstractNumId w:val="13"/>
  </w:num>
  <w:num w:numId="19" w16cid:durableId="2011593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5B26"/>
    <w:rsid w:val="00015B9A"/>
    <w:rsid w:val="000171E4"/>
    <w:rsid w:val="000222B2"/>
    <w:rsid w:val="00025D1F"/>
    <w:rsid w:val="00025E29"/>
    <w:rsid w:val="00031842"/>
    <w:rsid w:val="00031E2C"/>
    <w:rsid w:val="00033D01"/>
    <w:rsid w:val="0003494A"/>
    <w:rsid w:val="00041967"/>
    <w:rsid w:val="00066E2E"/>
    <w:rsid w:val="00066FB3"/>
    <w:rsid w:val="00073C9B"/>
    <w:rsid w:val="00076260"/>
    <w:rsid w:val="000804A3"/>
    <w:rsid w:val="00081CF0"/>
    <w:rsid w:val="0009104F"/>
    <w:rsid w:val="0009106C"/>
    <w:rsid w:val="000A3105"/>
    <w:rsid w:val="000B46FC"/>
    <w:rsid w:val="000B56DA"/>
    <w:rsid w:val="000D14D9"/>
    <w:rsid w:val="000D49B7"/>
    <w:rsid w:val="000E33A2"/>
    <w:rsid w:val="000E6F97"/>
    <w:rsid w:val="000F4B12"/>
    <w:rsid w:val="00105633"/>
    <w:rsid w:val="001068A9"/>
    <w:rsid w:val="001111BB"/>
    <w:rsid w:val="0011614F"/>
    <w:rsid w:val="001167E2"/>
    <w:rsid w:val="0012295E"/>
    <w:rsid w:val="00135A76"/>
    <w:rsid w:val="00135CA4"/>
    <w:rsid w:val="00136F6B"/>
    <w:rsid w:val="001432B7"/>
    <w:rsid w:val="00150573"/>
    <w:rsid w:val="00155E25"/>
    <w:rsid w:val="00162B26"/>
    <w:rsid w:val="00167A50"/>
    <w:rsid w:val="00170E8D"/>
    <w:rsid w:val="00185D6E"/>
    <w:rsid w:val="001934A3"/>
    <w:rsid w:val="00194940"/>
    <w:rsid w:val="001C3083"/>
    <w:rsid w:val="001C30D7"/>
    <w:rsid w:val="001D001D"/>
    <w:rsid w:val="001D13F7"/>
    <w:rsid w:val="001D373D"/>
    <w:rsid w:val="001E0D4A"/>
    <w:rsid w:val="001E7B2A"/>
    <w:rsid w:val="001F1DBB"/>
    <w:rsid w:val="001F387D"/>
    <w:rsid w:val="00200339"/>
    <w:rsid w:val="00202AF6"/>
    <w:rsid w:val="00210D94"/>
    <w:rsid w:val="0021453F"/>
    <w:rsid w:val="002169CB"/>
    <w:rsid w:val="00220931"/>
    <w:rsid w:val="002223BF"/>
    <w:rsid w:val="00240027"/>
    <w:rsid w:val="002400A4"/>
    <w:rsid w:val="00265BAB"/>
    <w:rsid w:val="0026785D"/>
    <w:rsid w:val="00270284"/>
    <w:rsid w:val="00274109"/>
    <w:rsid w:val="0027423C"/>
    <w:rsid w:val="00276BA1"/>
    <w:rsid w:val="00280347"/>
    <w:rsid w:val="00281207"/>
    <w:rsid w:val="00284831"/>
    <w:rsid w:val="00294CAA"/>
    <w:rsid w:val="002A70D9"/>
    <w:rsid w:val="002B5995"/>
    <w:rsid w:val="002B6586"/>
    <w:rsid w:val="002C70CF"/>
    <w:rsid w:val="002E230A"/>
    <w:rsid w:val="002E31D7"/>
    <w:rsid w:val="002F59F1"/>
    <w:rsid w:val="002F79EA"/>
    <w:rsid w:val="00300E8C"/>
    <w:rsid w:val="00321917"/>
    <w:rsid w:val="00324CEE"/>
    <w:rsid w:val="00324DD6"/>
    <w:rsid w:val="00325F18"/>
    <w:rsid w:val="00331899"/>
    <w:rsid w:val="00334FE0"/>
    <w:rsid w:val="00345BBA"/>
    <w:rsid w:val="0035342B"/>
    <w:rsid w:val="003637FD"/>
    <w:rsid w:val="00367115"/>
    <w:rsid w:val="00372ED9"/>
    <w:rsid w:val="003A2D6C"/>
    <w:rsid w:val="003A4365"/>
    <w:rsid w:val="003A4AFA"/>
    <w:rsid w:val="003A5478"/>
    <w:rsid w:val="003C43E7"/>
    <w:rsid w:val="003C5FE2"/>
    <w:rsid w:val="003C7D63"/>
    <w:rsid w:val="003D1B0C"/>
    <w:rsid w:val="003E659C"/>
    <w:rsid w:val="00424223"/>
    <w:rsid w:val="00425558"/>
    <w:rsid w:val="004267E3"/>
    <w:rsid w:val="004358DE"/>
    <w:rsid w:val="00443AD5"/>
    <w:rsid w:val="00447E8F"/>
    <w:rsid w:val="00451115"/>
    <w:rsid w:val="00453863"/>
    <w:rsid w:val="0045547F"/>
    <w:rsid w:val="00457BDE"/>
    <w:rsid w:val="00460DD1"/>
    <w:rsid w:val="0048392C"/>
    <w:rsid w:val="004900AE"/>
    <w:rsid w:val="004923C4"/>
    <w:rsid w:val="004B280F"/>
    <w:rsid w:val="004B2CB5"/>
    <w:rsid w:val="004B7677"/>
    <w:rsid w:val="004C135E"/>
    <w:rsid w:val="004C2C74"/>
    <w:rsid w:val="004C46FF"/>
    <w:rsid w:val="004D071C"/>
    <w:rsid w:val="004E3C5C"/>
    <w:rsid w:val="004F5470"/>
    <w:rsid w:val="00502E89"/>
    <w:rsid w:val="00504E87"/>
    <w:rsid w:val="00506A06"/>
    <w:rsid w:val="00516255"/>
    <w:rsid w:val="005212F2"/>
    <w:rsid w:val="005224CD"/>
    <w:rsid w:val="0052728E"/>
    <w:rsid w:val="00527A46"/>
    <w:rsid w:val="005428D3"/>
    <w:rsid w:val="00551F5A"/>
    <w:rsid w:val="0055363F"/>
    <w:rsid w:val="0056333E"/>
    <w:rsid w:val="0056385B"/>
    <w:rsid w:val="005707B6"/>
    <w:rsid w:val="00571AD1"/>
    <w:rsid w:val="00577D12"/>
    <w:rsid w:val="00580B5B"/>
    <w:rsid w:val="00597DD3"/>
    <w:rsid w:val="005A3059"/>
    <w:rsid w:val="005A419B"/>
    <w:rsid w:val="005A644E"/>
    <w:rsid w:val="005B2476"/>
    <w:rsid w:val="005B6593"/>
    <w:rsid w:val="005D4128"/>
    <w:rsid w:val="005E0323"/>
    <w:rsid w:val="005E08C7"/>
    <w:rsid w:val="005E5255"/>
    <w:rsid w:val="00617BDC"/>
    <w:rsid w:val="00622006"/>
    <w:rsid w:val="0064672D"/>
    <w:rsid w:val="00691AF1"/>
    <w:rsid w:val="006A03A1"/>
    <w:rsid w:val="006A5618"/>
    <w:rsid w:val="006A7F96"/>
    <w:rsid w:val="006B2ADE"/>
    <w:rsid w:val="006B7D26"/>
    <w:rsid w:val="006C0335"/>
    <w:rsid w:val="006E7C8A"/>
    <w:rsid w:val="00713BED"/>
    <w:rsid w:val="007407A2"/>
    <w:rsid w:val="00751B80"/>
    <w:rsid w:val="00774E4A"/>
    <w:rsid w:val="00781468"/>
    <w:rsid w:val="00785266"/>
    <w:rsid w:val="0078704E"/>
    <w:rsid w:val="00790FC7"/>
    <w:rsid w:val="007A6F0E"/>
    <w:rsid w:val="007B152B"/>
    <w:rsid w:val="007B7E6C"/>
    <w:rsid w:val="007C741C"/>
    <w:rsid w:val="007D0530"/>
    <w:rsid w:val="007D0BCB"/>
    <w:rsid w:val="007D18E8"/>
    <w:rsid w:val="007D1F1D"/>
    <w:rsid w:val="007D2D44"/>
    <w:rsid w:val="007D4EF0"/>
    <w:rsid w:val="007E730C"/>
    <w:rsid w:val="007E762B"/>
    <w:rsid w:val="007F120F"/>
    <w:rsid w:val="007F7060"/>
    <w:rsid w:val="008070AD"/>
    <w:rsid w:val="008073B5"/>
    <w:rsid w:val="0081173F"/>
    <w:rsid w:val="00821D5E"/>
    <w:rsid w:val="0082383A"/>
    <w:rsid w:val="00833DE3"/>
    <w:rsid w:val="008449DA"/>
    <w:rsid w:val="00847619"/>
    <w:rsid w:val="00855839"/>
    <w:rsid w:val="00867D39"/>
    <w:rsid w:val="00870D09"/>
    <w:rsid w:val="00875AD8"/>
    <w:rsid w:val="00880752"/>
    <w:rsid w:val="00885DF1"/>
    <w:rsid w:val="00887849"/>
    <w:rsid w:val="008933FA"/>
    <w:rsid w:val="00897AFC"/>
    <w:rsid w:val="008A7253"/>
    <w:rsid w:val="008B6DA3"/>
    <w:rsid w:val="008B6F92"/>
    <w:rsid w:val="008C7234"/>
    <w:rsid w:val="008D0750"/>
    <w:rsid w:val="008D0A62"/>
    <w:rsid w:val="008F4CA6"/>
    <w:rsid w:val="008F7BB2"/>
    <w:rsid w:val="0090626B"/>
    <w:rsid w:val="00907CAC"/>
    <w:rsid w:val="0092267A"/>
    <w:rsid w:val="00926781"/>
    <w:rsid w:val="00945FD7"/>
    <w:rsid w:val="00973404"/>
    <w:rsid w:val="00981D39"/>
    <w:rsid w:val="009A14A7"/>
    <w:rsid w:val="009A1B4C"/>
    <w:rsid w:val="009A7998"/>
    <w:rsid w:val="009B0E91"/>
    <w:rsid w:val="009B39E8"/>
    <w:rsid w:val="009C6478"/>
    <w:rsid w:val="009D4641"/>
    <w:rsid w:val="009E697F"/>
    <w:rsid w:val="009F007E"/>
    <w:rsid w:val="009F0E22"/>
    <w:rsid w:val="009F431B"/>
    <w:rsid w:val="009F5411"/>
    <w:rsid w:val="00A03AFF"/>
    <w:rsid w:val="00A03F23"/>
    <w:rsid w:val="00A058E2"/>
    <w:rsid w:val="00A06FD3"/>
    <w:rsid w:val="00A1594F"/>
    <w:rsid w:val="00A2334C"/>
    <w:rsid w:val="00A2408D"/>
    <w:rsid w:val="00A37FE6"/>
    <w:rsid w:val="00A425CA"/>
    <w:rsid w:val="00A44A18"/>
    <w:rsid w:val="00A47BC3"/>
    <w:rsid w:val="00A577BC"/>
    <w:rsid w:val="00A66786"/>
    <w:rsid w:val="00A75CAF"/>
    <w:rsid w:val="00A77A05"/>
    <w:rsid w:val="00A80C77"/>
    <w:rsid w:val="00A83441"/>
    <w:rsid w:val="00A83B5C"/>
    <w:rsid w:val="00AB1A1B"/>
    <w:rsid w:val="00AD2825"/>
    <w:rsid w:val="00AD48FC"/>
    <w:rsid w:val="00AE006D"/>
    <w:rsid w:val="00AF3B5A"/>
    <w:rsid w:val="00AF3CD4"/>
    <w:rsid w:val="00AF46DF"/>
    <w:rsid w:val="00B03E72"/>
    <w:rsid w:val="00B20144"/>
    <w:rsid w:val="00B20248"/>
    <w:rsid w:val="00B260C8"/>
    <w:rsid w:val="00B4143F"/>
    <w:rsid w:val="00B43A02"/>
    <w:rsid w:val="00B46DF9"/>
    <w:rsid w:val="00B50F3D"/>
    <w:rsid w:val="00B67FBC"/>
    <w:rsid w:val="00B832C0"/>
    <w:rsid w:val="00B9284A"/>
    <w:rsid w:val="00B96148"/>
    <w:rsid w:val="00B96A95"/>
    <w:rsid w:val="00BC4006"/>
    <w:rsid w:val="00BC54FF"/>
    <w:rsid w:val="00C0070A"/>
    <w:rsid w:val="00C05A6F"/>
    <w:rsid w:val="00C14130"/>
    <w:rsid w:val="00C15EBB"/>
    <w:rsid w:val="00C22A9D"/>
    <w:rsid w:val="00C2349C"/>
    <w:rsid w:val="00C24BAB"/>
    <w:rsid w:val="00C357EF"/>
    <w:rsid w:val="00C51B83"/>
    <w:rsid w:val="00C575F3"/>
    <w:rsid w:val="00C63312"/>
    <w:rsid w:val="00C63EFA"/>
    <w:rsid w:val="00C703F5"/>
    <w:rsid w:val="00C74C44"/>
    <w:rsid w:val="00C80D2E"/>
    <w:rsid w:val="00C85B95"/>
    <w:rsid w:val="00C97655"/>
    <w:rsid w:val="00C97896"/>
    <w:rsid w:val="00CB0683"/>
    <w:rsid w:val="00CB0C14"/>
    <w:rsid w:val="00CB7647"/>
    <w:rsid w:val="00CD1F12"/>
    <w:rsid w:val="00CD2A09"/>
    <w:rsid w:val="00CF07B8"/>
    <w:rsid w:val="00CF7630"/>
    <w:rsid w:val="00D026C0"/>
    <w:rsid w:val="00D15AE3"/>
    <w:rsid w:val="00D40D4D"/>
    <w:rsid w:val="00D43092"/>
    <w:rsid w:val="00D45547"/>
    <w:rsid w:val="00D631F7"/>
    <w:rsid w:val="00D65DA0"/>
    <w:rsid w:val="00D74067"/>
    <w:rsid w:val="00D74EED"/>
    <w:rsid w:val="00D80AB5"/>
    <w:rsid w:val="00D838E7"/>
    <w:rsid w:val="00D84D27"/>
    <w:rsid w:val="00DB1EDB"/>
    <w:rsid w:val="00DB5365"/>
    <w:rsid w:val="00DD3E1E"/>
    <w:rsid w:val="00DD4EEF"/>
    <w:rsid w:val="00DD550F"/>
    <w:rsid w:val="00DE18C0"/>
    <w:rsid w:val="00DE1E7C"/>
    <w:rsid w:val="00DF0377"/>
    <w:rsid w:val="00DF3E96"/>
    <w:rsid w:val="00DF7189"/>
    <w:rsid w:val="00E00CF6"/>
    <w:rsid w:val="00E16C71"/>
    <w:rsid w:val="00E430BE"/>
    <w:rsid w:val="00E50730"/>
    <w:rsid w:val="00E52DEE"/>
    <w:rsid w:val="00E77BA3"/>
    <w:rsid w:val="00E84C3A"/>
    <w:rsid w:val="00E84F04"/>
    <w:rsid w:val="00E860D5"/>
    <w:rsid w:val="00E92D99"/>
    <w:rsid w:val="00E93387"/>
    <w:rsid w:val="00E95216"/>
    <w:rsid w:val="00E960BF"/>
    <w:rsid w:val="00EA3B6A"/>
    <w:rsid w:val="00EB0D42"/>
    <w:rsid w:val="00EB1359"/>
    <w:rsid w:val="00EB254E"/>
    <w:rsid w:val="00EC3BD2"/>
    <w:rsid w:val="00EC5A72"/>
    <w:rsid w:val="00ED4726"/>
    <w:rsid w:val="00EF188C"/>
    <w:rsid w:val="00EF661F"/>
    <w:rsid w:val="00F10F71"/>
    <w:rsid w:val="00F1445A"/>
    <w:rsid w:val="00F165C1"/>
    <w:rsid w:val="00F2385E"/>
    <w:rsid w:val="00F32FC1"/>
    <w:rsid w:val="00F400C4"/>
    <w:rsid w:val="00F405EB"/>
    <w:rsid w:val="00F41813"/>
    <w:rsid w:val="00F43989"/>
    <w:rsid w:val="00F87027"/>
    <w:rsid w:val="00FA7600"/>
    <w:rsid w:val="00FB5622"/>
    <w:rsid w:val="00FB78E7"/>
    <w:rsid w:val="00FC5E20"/>
    <w:rsid w:val="00FC6C61"/>
    <w:rsid w:val="00FE0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3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D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E08C7"/>
    <w:pPr>
      <w:spacing w:before="240" w:after="0" w:line="216" w:lineRule="auto"/>
    </w:pPr>
    <w:rPr>
      <w:b w:val="0"/>
      <w:bCs w:val="0"/>
      <w:color w:val="000000" w:themeColor="background1"/>
      <w:sz w:val="80"/>
      <w:szCs w:val="80"/>
    </w:rPr>
  </w:style>
  <w:style w:type="character" w:customStyle="1" w:styleId="TitleChar">
    <w:name w:val="Title Char"/>
    <w:basedOn w:val="DefaultParagraphFont"/>
    <w:link w:val="Title"/>
    <w:rsid w:val="005E08C7"/>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D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uiPriority w:val="99"/>
    <w:semiHidden/>
    <w:unhideWhenUsed/>
    <w:qFormat/>
    <w:locked/>
    <w:rsid w:val="00DE1E7C"/>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DE1E7C"/>
    <w:rPr>
      <w:rFonts w:ascii="Gellix" w:eastAsia="ヒラギノ角ゴ Pro W3" w:hAnsi="Gellix"/>
      <w:color w:val="000000"/>
      <w:sz w:val="16"/>
    </w:rPr>
  </w:style>
  <w:style w:type="character" w:styleId="FootnoteReference">
    <w:name w:val="footnote reference"/>
    <w:basedOn w:val="DefaultParagraphFont"/>
    <w:uiPriority w:val="99"/>
    <w:semiHidden/>
    <w:unhideWhenUsed/>
    <w:locked/>
    <w:rsid w:val="00DE1E7C"/>
    <w:rPr>
      <w:vertAlign w:val="superscript"/>
    </w:rPr>
  </w:style>
  <w:style w:type="character" w:styleId="Hyperlink">
    <w:name w:val="Hyperlink"/>
    <w:basedOn w:val="DefaultParagraphFont"/>
    <w:uiPriority w:val="99"/>
    <w:locked/>
    <w:rsid w:val="00FC5E20"/>
    <w:rPr>
      <w:rFonts w:asciiTheme="minorHAnsi" w:hAnsiTheme="minorHAnsi"/>
      <w:color w:val="007DFF" w:themeColor="accent1"/>
      <w:u w:val="single"/>
    </w:rPr>
  </w:style>
  <w:style w:type="character" w:styleId="Emphasis">
    <w:name w:val="Emphasis"/>
    <w:basedOn w:val="DefaultParagraphFont"/>
    <w:uiPriority w:val="20"/>
    <w:qFormat/>
    <w:locked/>
    <w:rsid w:val="00C74C44"/>
    <w:rPr>
      <w:i/>
      <w:iCs/>
    </w:rPr>
  </w:style>
  <w:style w:type="character" w:customStyle="1" w:styleId="shareable-quote">
    <w:name w:val="shareable-quote"/>
    <w:basedOn w:val="DefaultParagraphFont"/>
    <w:rsid w:val="00C74C44"/>
  </w:style>
  <w:style w:type="character" w:styleId="UnresolvedMention">
    <w:name w:val="Unresolved Mention"/>
    <w:basedOn w:val="DefaultParagraphFont"/>
    <w:rsid w:val="004C4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2119372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cc@iccwbo.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https://twitter.com/iccwbo"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lsa/Downloads/www.iccwbo.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logs.worldbank.org/psd/promise-export-led-services-growth-re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DFF"/>
      </a:dk1>
      <a:lt1>
        <a:srgbClr val="000000"/>
      </a:lt1>
      <a:dk2>
        <a:srgbClr val="FFFFFF"/>
      </a:dk2>
      <a:lt2>
        <a:srgbClr val="007D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9ac3ad-62c9-469e-9456-ddeaf0b01b9c" xsi:nil="true"/>
    <lcf76f155ced4ddcb4097134ff3c332f xmlns="a00fcde4-6293-409f-80e5-c421a481df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9A9D161807457438E2002672E05BFD1" ma:contentTypeVersion="17" ma:contentTypeDescription="Crear nuevo documento." ma:contentTypeScope="" ma:versionID="926ae0cff09f7df6873d052f7f9c3988">
  <xsd:schema xmlns:xsd="http://www.w3.org/2001/XMLSchema" xmlns:xs="http://www.w3.org/2001/XMLSchema" xmlns:p="http://schemas.microsoft.com/office/2006/metadata/properties" xmlns:ns2="a00fcde4-6293-409f-80e5-c421a481df53" xmlns:ns3="329ac3ad-62c9-469e-9456-ddeaf0b01b9c" targetNamespace="http://schemas.microsoft.com/office/2006/metadata/properties" ma:root="true" ma:fieldsID="fd4e1a20f6816be009085e4e5a80ad5a" ns2:_="" ns3:_="">
    <xsd:import namespace="a00fcde4-6293-409f-80e5-c421a481df53"/>
    <xsd:import namespace="329ac3ad-62c9-469e-9456-ddeaf0b01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cde4-6293-409f-80e5-c421a481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ac3ad-62c9-469e-9456-ddeaf0b01b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382270-34fd-4cab-8cd5-b1d43c094485}" ma:internalName="TaxCatchAll" ma:showField="CatchAllData" ma:web="329ac3ad-62c9-469e-9456-ddeaf0b01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8702EFC428BE24B851B83AC2C8FBAA6" ma:contentTypeVersion="16" ma:contentTypeDescription="Create a new document." ma:contentTypeScope="" ma:versionID="e98204e97a6ad973da45fc26c746adf3">
  <xsd:schema xmlns:xsd="http://www.w3.org/2001/XMLSchema" xmlns:xs="http://www.w3.org/2001/XMLSchema" xmlns:p="http://schemas.microsoft.com/office/2006/metadata/properties" xmlns:ns2="08e869f6-ee03-4bc0-a269-689debf356d5" xmlns:ns3="0ec17935-e513-404a-9569-119a528aec82" xmlns:ns4="d3e32cb3-067c-482b-8aee-aa5844385cd1" xmlns:ns5="598f140b-4145-4024-8bcc-6d7083f15a24" targetNamespace="http://schemas.microsoft.com/office/2006/metadata/properties" ma:root="true" ma:fieldsID="72e8e5ab0a5fd710720811d2c9326237" ns2:_="" ns3:_="" ns4:_="" ns5:_="">
    <xsd:import namespace="08e869f6-ee03-4bc0-a269-689debf356d5"/>
    <xsd:import namespace="0ec17935-e513-404a-9569-119a528aec82"/>
    <xsd:import namespace="d3e32cb3-067c-482b-8aee-aa5844385cd1"/>
    <xsd:import namespace="598f140b-4145-4024-8bcc-6d7083f15a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AutoKeyPoints" minOccurs="0"/>
                <xsd:element ref="ns3:MediaServiceKeyPoints" minOccurs="0"/>
                <xsd:element ref="ns3:lcf76f155ced4ddcb4097134ff3c332f" minOccurs="0"/>
                <xsd:element ref="ns5:TaxCatchAll"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869f6-ee03-4bc0-a269-689debf356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c17935-e513-404a-9569-119a528aec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32cb3-067c-482b-8aee-aa5844385c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c66c0cd-edd9-4ff4-8ebe-bdeadfd50365}" ma:internalName="TaxCatchAll" ma:showField="CatchAllData" ma:web="08e869f6-ee03-4bc0-a269-689debf35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2.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eb420d04-8ccc-4ad2-8827-d3d7445a09fc"/>
    <ds:schemaRef ds:uri="598f140b-4145-4024-8bcc-6d7083f15a24"/>
    <ds:schemaRef ds:uri="0ec17935-e513-404a-9569-119a528aec82"/>
    <ds:schemaRef ds:uri="08e869f6-ee03-4bc0-a269-689debf356d5"/>
  </ds:schemaRefs>
</ds:datastoreItem>
</file>

<file path=customXml/itemProps3.xml><?xml version="1.0" encoding="utf-8"?>
<ds:datastoreItem xmlns:ds="http://schemas.openxmlformats.org/officeDocument/2006/customXml" ds:itemID="{8154FC0B-E615-41BB-AA90-164AEAA9EE8E}"/>
</file>

<file path=customXml/itemProps4.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5.xml><?xml version="1.0" encoding="utf-8"?>
<ds:datastoreItem xmlns:ds="http://schemas.openxmlformats.org/officeDocument/2006/customXml" ds:itemID="{7FC73E45-FB47-4D91-B81F-669943531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869f6-ee03-4bc0-a269-689debf356d5"/>
    <ds:schemaRef ds:uri="0ec17935-e513-404a-9569-119a528aec82"/>
    <ds:schemaRef ds:uri="d3e32cb3-067c-482b-8aee-aa5844385cd1"/>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1405</Words>
  <Characters>7971</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ICC Letterhead</vt:lpstr>
    </vt:vector>
  </TitlesOfParts>
  <Company/>
  <LinksUpToDate>false</LinksUpToDate>
  <CharactersWithSpaces>9358</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dc:creator>
  <cp:keywords/>
  <cp:lastModifiedBy>SCARCELLA Luisa</cp:lastModifiedBy>
  <cp:revision>8</cp:revision>
  <cp:lastPrinted>2014-02-03T14:03:00Z</cp:lastPrinted>
  <dcterms:created xsi:type="dcterms:W3CDTF">2023-10-30T22:16:00Z</dcterms:created>
  <dcterms:modified xsi:type="dcterms:W3CDTF">2023-10-30T22:21:00Z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0x01010029A9D161807457438E2002672E05BFD1</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4a3f84bc-1eed-4d56-9ac4-0eef50227d96</vt:lpwstr>
  </property>
</Properties>
</file>